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hd w:val="clear" w:color="auto" w:fill="ffffff"/>
        <w:autoSpaceDE w:val="false"/>
        <w:autoSpaceDN w:val="false"/>
        <w:adjustRightInd w:val="false"/>
        <w:spacing w:after="0" w:lineRule="auto" w:line="240"/>
        <w:jc w:val="center"/>
        <w:rPr>
          <w:rFonts w:ascii="Calibri-Bold" w:cs="Calibri-Bold" w:hAnsi="Calibri-Bold"/>
          <w:b/>
          <w:bCs/>
          <w:sz w:val="32"/>
          <w:szCs w:val="32"/>
          <w:u w:val="single"/>
        </w:rPr>
      </w:pPr>
      <w:r>
        <w:rPr>
          <w:rFonts w:ascii="Calibri-Bold" w:cs="Calibri-Bold" w:hAnsi="Calibri-Bold"/>
          <w:b/>
          <w:bCs/>
          <w:sz w:val="32"/>
          <w:szCs w:val="32"/>
          <w:u w:val="single"/>
        </w:rPr>
        <w:t>KUMAR MANGALAM</w:t>
      </w:r>
    </w:p>
    <w:p>
      <w:pPr>
        <w:pStyle w:val="style157"/>
        <w:rPr>
          <w:sz w:val="24"/>
          <w:szCs w:val="24"/>
        </w:rPr>
      </w:pPr>
      <w:r>
        <w:rPr>
          <w:rFonts w:cs="Calibri"/>
          <w:sz w:val="24"/>
          <w:szCs w:val="24"/>
        </w:rPr>
        <w:t>E‐mail: er.kumar</w:t>
      </w:r>
      <w:r>
        <w:rPr/>
        <w:fldChar w:fldCharType="begin"/>
      </w:r>
      <w:r>
        <w:instrText xml:space="preserve"> HYPERLINK "mailto:21@yahoo.in" </w:instrText>
      </w:r>
      <w:r>
        <w:rPr/>
        <w:fldChar w:fldCharType="separate"/>
      </w:r>
      <w:r>
        <w:rPr>
          <w:rStyle w:val="style85"/>
          <w:rFonts w:cs="Calibri"/>
          <w:color w:val="auto"/>
          <w:sz w:val="24"/>
          <w:szCs w:val="24"/>
        </w:rPr>
        <w:t>21@yahoo.in</w:t>
      </w:r>
      <w:r>
        <w:rPr/>
        <w:fldChar w:fldCharType="end"/>
      </w:r>
      <w:r>
        <w:rPr>
          <w:sz w:val="24"/>
          <w:szCs w:val="24"/>
        </w:rPr>
        <w:t xml:space="preserve">; </w:t>
      </w:r>
      <w:r>
        <w:rPr>
          <w:rFonts w:cs="Calibri"/>
          <w:sz w:val="24"/>
          <w:szCs w:val="24"/>
        </w:rPr>
        <w:t>Mob: 9540333163,7042575045</w:t>
      </w:r>
    </w:p>
    <w:p>
      <w:pPr>
        <w:pStyle w:val="style157"/>
        <w:rPr>
          <w:b/>
          <w:bCs/>
          <w:u w:val="single"/>
        </w:rPr>
      </w:pPr>
    </w:p>
    <w:p>
      <w:pPr>
        <w:pStyle w:val="style157"/>
        <w:rPr>
          <w:b/>
          <w:bCs/>
          <w:u w:val="single"/>
        </w:rPr>
      </w:pPr>
      <w:r>
        <w:rPr>
          <w:b/>
          <w:bCs/>
          <w:u w:val="single"/>
        </w:rPr>
        <w:t>CAREER OBJECTIVE</w:t>
      </w:r>
    </w:p>
    <w:p>
      <w:pPr>
        <w:pStyle w:val="style157"/>
        <w:rPr/>
      </w:pPr>
      <w:r>
        <w:t xml:space="preserve">I seek to advance my professional career in a Senior Management cadre where my proven competencies in the area of Projects, </w:t>
      </w:r>
      <w:r>
        <w:t xml:space="preserve">procurement, contracts and vendor management, O&amp;M  </w:t>
      </w:r>
      <w:r>
        <w:t>would be</w:t>
      </w:r>
      <w:r>
        <w:t xml:space="preserve"> </w:t>
      </w:r>
      <w:r>
        <w:t xml:space="preserve">valued and utilized. </w:t>
      </w:r>
    </w:p>
    <w:p>
      <w:pPr>
        <w:pStyle w:val="style0"/>
        <w:shd w:val="clear" w:color="auto" w:fill="ffffff"/>
        <w:autoSpaceDE w:val="false"/>
        <w:autoSpaceDN w:val="false"/>
        <w:adjustRightInd w:val="false"/>
        <w:spacing w:after="0" w:lineRule="auto" w:line="240"/>
        <w:jc w:val="both"/>
        <w:rPr>
          <w:rFonts w:cs="Calibri"/>
          <w:sz w:val="24"/>
          <w:szCs w:val="24"/>
        </w:rPr>
      </w:pPr>
    </w:p>
    <w:p>
      <w:pPr>
        <w:pStyle w:val="style157"/>
        <w:rPr>
          <w:b/>
          <w:bCs/>
          <w:u w:val="single"/>
        </w:rPr>
      </w:pPr>
      <w:r>
        <w:rPr>
          <w:b/>
          <w:bCs/>
          <w:u w:val="single"/>
        </w:rPr>
        <w:t>SYNOPSIS</w:t>
      </w:r>
    </w:p>
    <w:p>
      <w:pPr>
        <w:pStyle w:val="style157"/>
        <w:rPr>
          <w:lang w:bidi="hi-IN"/>
        </w:rPr>
      </w:pPr>
      <w:r>
        <w:rPr>
          <w:lang w:bidi="hi-IN"/>
        </w:rPr>
        <w:t>1</w:t>
      </w:r>
      <w:bookmarkStart w:id="0" w:name="_GoBack"/>
      <w:bookmarkEnd w:id="0"/>
      <w:r>
        <w:rPr>
          <w:lang w:bidi="hi-IN"/>
        </w:rPr>
        <w:t>3</w:t>
      </w:r>
      <w:r>
        <w:rPr>
          <w:lang w:bidi="hi-IN"/>
        </w:rPr>
        <w:t xml:space="preserve"> year</w:t>
      </w:r>
      <w:r>
        <w:rPr>
          <w:lang w:bidi="hi-IN"/>
        </w:rPr>
        <w:t>s of experience in the Power, Steel and</w:t>
      </w:r>
      <w:r>
        <w:rPr>
          <w:lang w:bidi="hi-IN"/>
        </w:rPr>
        <w:t xml:space="preserve"> Water Infra Projects in Execution, Project Management, Procurement, Contracts at middle management levels.</w:t>
      </w:r>
      <w:r>
        <w:rPr>
          <w:lang w:bidi="hi-IN"/>
        </w:rPr>
        <w:t xml:space="preserve"> </w:t>
      </w:r>
      <w:r>
        <w:rPr>
          <w:lang w:bidi="hi-IN"/>
        </w:rPr>
        <w:t xml:space="preserve">Worked at </w:t>
      </w:r>
      <w:r>
        <w:rPr>
          <w:b/>
          <w:bCs/>
          <w:lang w:bidi="hi-IN"/>
        </w:rPr>
        <w:t>Jindal Power Limited</w:t>
      </w:r>
      <w:r>
        <w:rPr>
          <w:lang w:bidi="hi-IN"/>
        </w:rPr>
        <w:t xml:space="preserve"> 4X250 MW (O&amp;M) &amp; 4X660 MW (Project), </w:t>
      </w:r>
      <w:r>
        <w:rPr>
          <w:b/>
          <w:bCs/>
          <w:lang w:bidi="hi-IN"/>
        </w:rPr>
        <w:t>Indian coast Guard</w:t>
      </w:r>
      <w:r>
        <w:rPr>
          <w:lang w:bidi="hi-IN"/>
        </w:rPr>
        <w:t xml:space="preserve"> (MOD) Technical Officer</w:t>
      </w:r>
      <w:r>
        <w:rPr>
          <w:lang w:bidi="hi-IN"/>
        </w:rPr>
        <w:t xml:space="preserve"> (O&amp;M)</w:t>
      </w:r>
      <w:r>
        <w:rPr>
          <w:lang w:bidi="hi-IN"/>
        </w:rPr>
        <w:t xml:space="preserve">, </w:t>
      </w:r>
      <w:r>
        <w:rPr>
          <w:b/>
          <w:bCs/>
          <w:lang w:bidi="hi-IN"/>
        </w:rPr>
        <w:t>WelspunEnergy Limited</w:t>
      </w:r>
      <w:r>
        <w:rPr>
          <w:lang w:bidi="hi-IN"/>
        </w:rPr>
        <w:t xml:space="preserve"> 1000MW Solar (Procurement). </w:t>
      </w:r>
      <w:r>
        <w:rPr>
          <w:b/>
          <w:bCs/>
          <w:lang w:bidi="hi-IN"/>
        </w:rPr>
        <w:t>Jindal water Infrastructure Limited</w:t>
      </w:r>
      <w:r>
        <w:rPr>
          <w:lang w:bidi="hi-IN"/>
        </w:rPr>
        <w:t xml:space="preserve"> (</w:t>
      </w:r>
      <w:r>
        <w:rPr>
          <w:lang w:bidi="hi-IN"/>
        </w:rPr>
        <w:t>SCM</w:t>
      </w:r>
      <w:r>
        <w:rPr>
          <w:lang w:bidi="hi-IN"/>
        </w:rPr>
        <w:t>)</w:t>
      </w:r>
      <w:r>
        <w:rPr>
          <w:lang w:bidi="hi-IN"/>
        </w:rPr>
        <w:t>,</w:t>
      </w:r>
      <w:r>
        <w:rPr>
          <w:lang w:bidi="hi-IN"/>
        </w:rPr>
        <w:t xml:space="preserve"> </w:t>
      </w:r>
      <w:r>
        <w:rPr>
          <w:b/>
          <w:bCs/>
          <w:lang w:bidi="hi-IN"/>
        </w:rPr>
        <w:t>Jindal SAW Limited</w:t>
      </w:r>
      <w:r>
        <w:rPr>
          <w:lang w:bidi="hi-IN"/>
        </w:rPr>
        <w:t xml:space="preserve"> </w:t>
      </w:r>
      <w:r>
        <w:rPr>
          <w:lang w:bidi="hi-IN"/>
        </w:rPr>
        <w:t>(</w:t>
      </w:r>
      <w:r>
        <w:rPr>
          <w:lang w:bidi="hi-IN"/>
        </w:rPr>
        <w:t>Procurement</w:t>
      </w:r>
      <w:r>
        <w:rPr>
          <w:lang w:bidi="hi-IN"/>
        </w:rPr>
        <w:t>).</w:t>
      </w:r>
    </w:p>
    <w:p>
      <w:pPr>
        <w:pStyle w:val="style0"/>
        <w:shd w:val="clear" w:color="auto" w:fill="ffffff"/>
        <w:autoSpaceDE w:val="false"/>
        <w:autoSpaceDN w:val="false"/>
        <w:adjustRightInd w:val="false"/>
        <w:spacing w:after="0" w:lineRule="auto" w:line="240"/>
        <w:jc w:val="both"/>
        <w:rPr>
          <w:rFonts w:cs="Calibri"/>
          <w:b/>
          <w:bCs/>
          <w:sz w:val="24"/>
          <w:szCs w:val="24"/>
        </w:rPr>
      </w:pPr>
    </w:p>
    <w:p>
      <w:pPr>
        <w:pStyle w:val="style157"/>
        <w:rPr>
          <w:b/>
          <w:bCs/>
          <w:u w:val="single"/>
        </w:rPr>
      </w:pPr>
      <w:r>
        <w:rPr>
          <w:b/>
          <w:bCs/>
          <w:u w:val="single"/>
        </w:rPr>
        <w:t>WORK EXPERIENCE</w:t>
      </w:r>
    </w:p>
    <w:p>
      <w:pPr>
        <w:pStyle w:val="style157"/>
        <w:numPr>
          <w:ilvl w:val="0"/>
          <w:numId w:val="8"/>
        </w:numPr>
        <w:rPr>
          <w:lang w:bidi="hi-IN"/>
        </w:rPr>
      </w:pPr>
      <w:r>
        <w:rPr>
          <w:lang w:bidi="hi-IN"/>
        </w:rPr>
        <w:t xml:space="preserve">Understanding requirement, Procurement Planning, Sourcing &amp; Tendering, Evaluation &amp; Selection, Contract Award, Contract Management. </w:t>
      </w:r>
    </w:p>
    <w:p>
      <w:pPr>
        <w:pStyle w:val="style157"/>
        <w:numPr>
          <w:ilvl w:val="0"/>
          <w:numId w:val="8"/>
        </w:numPr>
        <w:rPr>
          <w:lang w:bidi="hi-IN"/>
        </w:rPr>
      </w:pPr>
      <w:r>
        <w:rPr>
          <w:lang w:bidi="hi-IN"/>
        </w:rPr>
        <w:t xml:space="preserve">Strategic purchase </w:t>
      </w:r>
      <w:r>
        <w:rPr>
          <w:lang w:bidi="hi-IN"/>
        </w:rPr>
        <w:t>to meet the urgent requirements,</w:t>
      </w:r>
      <w:r>
        <w:rPr>
          <w:lang w:bidi="hi-IN"/>
        </w:rPr>
        <w:t xml:space="preserve"> frequent requirements </w:t>
      </w:r>
      <w:r>
        <w:rPr>
          <w:lang w:bidi="hi-IN"/>
        </w:rPr>
        <w:t xml:space="preserve">periodic requirements </w:t>
      </w:r>
      <w:r>
        <w:rPr>
          <w:lang w:bidi="hi-IN"/>
        </w:rPr>
        <w:t>in view to save delivery time and cost.</w:t>
      </w:r>
    </w:p>
    <w:p>
      <w:pPr>
        <w:pStyle w:val="style157"/>
        <w:numPr>
          <w:ilvl w:val="0"/>
          <w:numId w:val="8"/>
        </w:numPr>
        <w:shd w:val="clear" w:color="auto" w:fill="ffffff"/>
        <w:autoSpaceDE w:val="false"/>
        <w:autoSpaceDN w:val="false"/>
        <w:adjustRightInd w:val="false"/>
        <w:spacing w:before="100" w:beforeAutospacing="true" w:afterAutospacing="true"/>
        <w:jc w:val="both"/>
        <w:textAlignment w:val="top"/>
        <w:rPr>
          <w:rFonts w:ascii="Calibri-Bold" w:cs="Calibri-Bold" w:hAnsi="Calibri-Bold"/>
          <w:b/>
          <w:bCs/>
          <w:sz w:val="24"/>
          <w:szCs w:val="24"/>
          <w:u w:val="single"/>
        </w:rPr>
      </w:pPr>
      <w:r>
        <w:rPr>
          <w:lang w:bidi="hi-IN"/>
        </w:rPr>
        <w:t>Providing regular updates to the Higher Management through MIS.</w:t>
      </w:r>
    </w:p>
    <w:p>
      <w:pPr>
        <w:pStyle w:val="style157"/>
        <w:numPr>
          <w:ilvl w:val="0"/>
          <w:numId w:val="8"/>
        </w:numPr>
        <w:rPr>
          <w:lang w:bidi="hi-IN"/>
        </w:rPr>
      </w:pPr>
      <w:r>
        <w:rPr>
          <w:lang w:bidi="hi-IN"/>
        </w:rPr>
        <w:t xml:space="preserve">Procurement </w:t>
      </w:r>
      <w:r>
        <w:rPr>
          <w:lang w:bidi="hi-IN"/>
        </w:rPr>
        <w:t xml:space="preserve">of  </w:t>
      </w:r>
      <w:r>
        <w:rPr>
          <w:lang w:bidi="hi-IN"/>
        </w:rPr>
        <w:t xml:space="preserve">Plant and Machinery, O&amp;M, Project packages and CAPEX. </w:t>
      </w:r>
    </w:p>
    <w:p>
      <w:pPr>
        <w:pStyle w:val="style157"/>
        <w:numPr>
          <w:ilvl w:val="0"/>
          <w:numId w:val="8"/>
        </w:numPr>
        <w:rPr>
          <w:lang w:bidi="hi-IN"/>
        </w:rPr>
      </w:pPr>
      <w:r>
        <w:rPr>
          <w:lang w:bidi="hi-IN"/>
        </w:rPr>
        <w:t xml:space="preserve">Procurements of all </w:t>
      </w:r>
      <w:r>
        <w:rPr>
          <w:lang w:bidi="hi-IN"/>
        </w:rPr>
        <w:t>t</w:t>
      </w:r>
      <w:r>
        <w:rPr>
          <w:lang w:bidi="hi-IN"/>
        </w:rPr>
        <w:t>he Mechanical, Electrical &amp; Instrumentation project Items such as PLC &amp; MCC Panels, Electric Motors,</w:t>
      </w:r>
      <w:r>
        <w:rPr>
          <w:lang w:bidi="hi-IN"/>
        </w:rPr>
        <w:t xml:space="preserve"> Transformers, Cables, Luminaries</w:t>
      </w:r>
      <w:r>
        <w:rPr>
          <w:lang w:bidi="hi-IN"/>
        </w:rPr>
        <w:t xml:space="preserve"> frequency drives</w:t>
      </w:r>
      <w:r>
        <w:rPr>
          <w:lang w:bidi="hi-IN"/>
        </w:rPr>
        <w:t>,EOTs, Hoists</w:t>
      </w:r>
      <w:r>
        <w:rPr>
          <w:lang w:bidi="hi-IN"/>
        </w:rPr>
        <w:t xml:space="preserve"> etc.  </w:t>
      </w:r>
    </w:p>
    <w:p>
      <w:pPr>
        <w:pStyle w:val="style157"/>
        <w:ind w:left="720"/>
        <w:rPr>
          <w:lang w:bidi="hi-IN"/>
        </w:rPr>
      </w:pPr>
    </w:p>
    <w:p>
      <w:pPr>
        <w:pStyle w:val="style157"/>
        <w:rPr>
          <w:rFonts w:cs="Calibri"/>
          <w:b/>
          <w:bCs/>
          <w:u w:val="single"/>
        </w:rPr>
      </w:pPr>
      <w:r>
        <w:rPr>
          <w:b/>
          <w:bCs/>
          <w:u w:val="single"/>
        </w:rPr>
        <w:t>1. Jindal SAW Limited (</w:t>
      </w:r>
      <w:r>
        <w:rPr>
          <w:b/>
          <w:bCs/>
          <w:u w:val="single"/>
          <w:lang w:val="en-US"/>
        </w:rPr>
        <w:t>May</w:t>
      </w:r>
      <w:r>
        <w:rPr>
          <w:b/>
          <w:bCs/>
          <w:u w:val="single"/>
        </w:rPr>
        <w:t>-201</w:t>
      </w:r>
      <w:r>
        <w:rPr>
          <w:b/>
          <w:bCs/>
          <w:u w:val="single"/>
          <w:lang w:val="en-US"/>
        </w:rPr>
        <w:t>6</w:t>
      </w:r>
      <w:r>
        <w:rPr>
          <w:b/>
          <w:bCs/>
          <w:u w:val="single"/>
        </w:rPr>
        <w:t xml:space="preserve"> till Mar-2020)</w:t>
      </w:r>
      <w:r>
        <w:rPr>
          <w:b/>
          <w:bCs/>
          <w:u w:val="single"/>
        </w:rPr>
        <w:t xml:space="preserve"> As Manager (</w:t>
      </w:r>
      <w:r>
        <w:rPr>
          <w:b/>
          <w:bCs/>
          <w:u w:val="single"/>
        </w:rPr>
        <w:t>Procurement</w:t>
      </w:r>
      <w:r>
        <w:rPr>
          <w:b/>
          <w:bCs/>
          <w:u w:val="single"/>
        </w:rPr>
        <w:t>)</w:t>
      </w:r>
      <w:r>
        <w:rPr>
          <w:b/>
          <w:bCs/>
          <w:u w:val="single"/>
        </w:rPr>
        <w:t xml:space="preserve"> </w:t>
      </w:r>
    </w:p>
    <w:p>
      <w:pPr>
        <w:pStyle w:val="style157"/>
        <w:rPr/>
      </w:pPr>
      <w:r>
        <w:t xml:space="preserve">Procurement for </w:t>
      </w:r>
      <w:r>
        <w:t xml:space="preserve">Water projects of </w:t>
      </w:r>
      <w:r>
        <w:t>455</w:t>
      </w:r>
      <w:r>
        <w:t xml:space="preserve"> MLD. Handl</w:t>
      </w:r>
      <w:r>
        <w:t>ed</w:t>
      </w:r>
      <w:r>
        <w:t xml:space="preserve"> 1</w:t>
      </w:r>
      <w:r>
        <w:t>7</w:t>
      </w:r>
      <w:r>
        <w:t xml:space="preserve"> projects</w:t>
      </w:r>
      <w:r>
        <w:t>.</w:t>
      </w:r>
      <w:r>
        <w:t xml:space="preserve"> </w:t>
      </w:r>
      <w:r>
        <w:t>P</w:t>
      </w:r>
      <w:r>
        <w:t>urchase costing around 1000 Cr.</w:t>
      </w:r>
    </w:p>
    <w:p>
      <w:pPr>
        <w:pStyle w:val="style0"/>
        <w:shd w:val="clear" w:color="auto" w:fill="ffffff"/>
        <w:autoSpaceDE w:val="false"/>
        <w:autoSpaceDN w:val="false"/>
        <w:adjustRightInd w:val="false"/>
        <w:spacing w:after="0" w:lineRule="auto" w:line="240"/>
        <w:jc w:val="both"/>
        <w:rPr>
          <w:rFonts w:cs="Calibri"/>
          <w:b/>
          <w:bCs/>
          <w:sz w:val="24"/>
          <w:szCs w:val="24"/>
          <w:u w:val="single"/>
        </w:rPr>
      </w:pPr>
    </w:p>
    <w:p>
      <w:pPr>
        <w:pStyle w:val="style157"/>
        <w:rPr>
          <w:b/>
          <w:bCs/>
          <w:u w:val="single"/>
        </w:rPr>
      </w:pPr>
      <w:r>
        <w:rPr>
          <w:b/>
          <w:bCs/>
          <w:u w:val="single"/>
        </w:rPr>
        <w:t>Project Details-</w:t>
      </w:r>
    </w:p>
    <w:p>
      <w:pPr>
        <w:pStyle w:val="style157"/>
        <w:rPr/>
      </w:pPr>
      <w:r>
        <w:t>Assam</w:t>
      </w:r>
      <w:r>
        <w:t>(191+37 MLD Guwahati)</w:t>
      </w:r>
      <w:r>
        <w:t>,</w:t>
      </w:r>
      <w:r>
        <w:t>Madhya Pradesh(19.17 MLD Tikamgarh)</w:t>
      </w:r>
      <w:r>
        <w:t xml:space="preserve"> </w:t>
      </w:r>
      <w:r>
        <w:t>(11.45 MLD Sehore)</w:t>
      </w:r>
    </w:p>
    <w:p>
      <w:pPr>
        <w:pStyle w:val="style157"/>
        <w:rPr/>
      </w:pPr>
      <w:r>
        <w:t>(11.15 MLD Morena)</w:t>
      </w:r>
      <w:r>
        <w:t xml:space="preserve"> </w:t>
      </w:r>
      <w:r>
        <w:t>(9.81 MLD Siddhi)</w:t>
      </w:r>
      <w:r>
        <w:t xml:space="preserve"> </w:t>
      </w:r>
      <w:r>
        <w:t>(4.92 MLD Manpur)</w:t>
      </w:r>
      <w:r>
        <w:t xml:space="preserve"> </w:t>
      </w:r>
      <w:r>
        <w:t>(59 MLD Byarma)</w:t>
      </w:r>
      <w:r>
        <w:t>, Bihar</w:t>
      </w:r>
      <w:r>
        <w:t>(10 MLD Rajaouli)</w:t>
      </w:r>
      <w:r>
        <w:t xml:space="preserve"> </w:t>
      </w:r>
      <w:r>
        <w:t>(7 MLD Silao)</w:t>
      </w:r>
      <w:r>
        <w:t xml:space="preserve">, Jharkhand </w:t>
      </w:r>
      <w:r>
        <w:t>(60+30 MLD Adityapur)</w:t>
      </w:r>
      <w:r>
        <w:t>, Uttar Pradesh</w:t>
      </w:r>
      <w:r>
        <w:t xml:space="preserve"> </w:t>
      </w:r>
      <w:r>
        <w:t>(3.8 MLD Mau )</w:t>
      </w:r>
    </w:p>
    <w:p>
      <w:pPr>
        <w:pStyle w:val="style157"/>
        <w:rPr/>
      </w:pPr>
      <w:r>
        <w:t>(Pipeline  Agra)</w:t>
      </w:r>
      <w:r>
        <w:t>,</w:t>
      </w:r>
      <w:r>
        <w:t xml:space="preserve"> Rajasthan</w:t>
      </w:r>
      <w:r>
        <w:t xml:space="preserve"> </w:t>
      </w:r>
      <w:r>
        <w:t>(Irrigation Parwan</w:t>
      </w:r>
      <w:r>
        <w:t xml:space="preserve"> 3500km</w:t>
      </w:r>
      <w:r>
        <w:t>)</w:t>
      </w:r>
      <w:r>
        <w:t xml:space="preserve">, Uttarakhand </w:t>
      </w:r>
      <w:r>
        <w:t>(CETP)</w:t>
      </w:r>
      <w:r>
        <w:t>,</w:t>
      </w:r>
      <w:r>
        <w:t xml:space="preserve"> Nepal </w:t>
      </w:r>
      <w:r>
        <w:t>(Pipeline Kathmandu)</w:t>
      </w:r>
    </w:p>
    <w:p>
      <w:pPr>
        <w:pStyle w:val="style157"/>
        <w:rPr>
          <w:rFonts w:cs="Calibri"/>
          <w:b/>
          <w:bCs/>
          <w:sz w:val="24"/>
          <w:szCs w:val="24"/>
        </w:rPr>
      </w:pPr>
    </w:p>
    <w:p>
      <w:pPr>
        <w:pStyle w:val="style157"/>
        <w:rPr>
          <w:b/>
          <w:bCs/>
          <w:u w:val="single"/>
        </w:rPr>
      </w:pPr>
      <w:r>
        <w:rPr>
          <w:b/>
          <w:bCs/>
          <w:u w:val="single"/>
          <w:lang w:val="en-US"/>
        </w:rPr>
        <w:t>2</w:t>
      </w:r>
      <w:r>
        <w:rPr>
          <w:b/>
          <w:bCs/>
          <w:u w:val="single"/>
        </w:rPr>
        <w:t>. Welspun Energy (P) Limited (Oct‐2011 to May‐2016) As Deputy Manager (Procurement)</w:t>
      </w:r>
    </w:p>
    <w:p>
      <w:pPr>
        <w:pStyle w:val="style157"/>
        <w:rPr/>
      </w:pPr>
      <w:r>
        <w:t xml:space="preserve">Procurement and Contracts for 1000 MW Solar and Wind </w:t>
      </w:r>
      <w:r>
        <w:t>Projects . Handled 25 projects</w:t>
      </w:r>
      <w:r>
        <w:t>l.</w:t>
      </w:r>
      <w:r>
        <w:t xml:space="preserve"> Purchase and Contracts costing </w:t>
      </w:r>
      <w:r>
        <w:t>around</w:t>
      </w:r>
      <w:r>
        <w:t xml:space="preserve"> 1500 Cr.</w:t>
      </w:r>
    </w:p>
    <w:p>
      <w:pPr>
        <w:pStyle w:val="style0"/>
        <w:shd w:val="clear" w:color="auto" w:fill="ffffff"/>
        <w:autoSpaceDE w:val="false"/>
        <w:autoSpaceDN w:val="false"/>
        <w:adjustRightInd w:val="false"/>
        <w:spacing w:after="0" w:lineRule="auto" w:line="240"/>
        <w:jc w:val="both"/>
        <w:rPr>
          <w:rFonts w:cs="Calibri"/>
          <w:sz w:val="24"/>
          <w:szCs w:val="24"/>
        </w:rPr>
      </w:pPr>
    </w:p>
    <w:p>
      <w:pPr>
        <w:pStyle w:val="style157"/>
        <w:rPr>
          <w:b/>
          <w:bCs/>
          <w:u w:val="single"/>
        </w:rPr>
      </w:pPr>
      <w:r>
        <w:rPr>
          <w:b/>
          <w:bCs/>
          <w:u w:val="single"/>
        </w:rPr>
        <w:t>Project Details-</w:t>
      </w:r>
    </w:p>
    <w:p>
      <w:pPr>
        <w:pStyle w:val="style157"/>
        <w:rPr>
          <w:lang w:eastAsia="en-IN"/>
        </w:rPr>
      </w:pPr>
      <w:r>
        <w:rPr>
          <w:lang w:eastAsia="en-IN"/>
        </w:rPr>
        <w:t xml:space="preserve">Gujrat </w:t>
      </w:r>
      <w:r>
        <w:rPr>
          <w:lang w:eastAsia="en-IN"/>
        </w:rPr>
        <w:t>(5+15 MW Anjar, 15+15 MW Surendernagar)</w:t>
      </w:r>
      <w:r>
        <w:rPr>
          <w:lang w:eastAsia="en-IN"/>
        </w:rPr>
        <w:t>,</w:t>
      </w:r>
      <w:r>
        <w:rPr>
          <w:lang w:eastAsia="en-IN"/>
        </w:rPr>
        <w:t>Rajasthan (5+5+50 MW Phalodi)</w:t>
      </w:r>
      <w:r>
        <w:rPr>
          <w:lang w:eastAsia="en-IN"/>
        </w:rPr>
        <w:t xml:space="preserve">, </w:t>
      </w:r>
      <w:r>
        <w:rPr>
          <w:lang w:eastAsia="en-IN"/>
        </w:rPr>
        <w:t xml:space="preserve">M.P. </w:t>
      </w:r>
      <w:r>
        <w:rPr>
          <w:lang w:eastAsia="en-IN"/>
        </w:rPr>
        <w:t> </w:t>
      </w:r>
      <w:r>
        <w:rPr>
          <w:lang w:eastAsia="en-IN"/>
        </w:rPr>
        <w:t>(115 + 35 MW Neemuch)</w:t>
      </w:r>
      <w:r>
        <w:rPr>
          <w:lang w:eastAsia="en-IN"/>
        </w:rPr>
        <w:t xml:space="preserve">, </w:t>
      </w:r>
      <w:r>
        <w:rPr>
          <w:lang w:eastAsia="en-IN"/>
        </w:rPr>
        <w:t>Bihar</w:t>
      </w:r>
      <w:r>
        <w:rPr>
          <w:lang w:eastAsia="en-IN"/>
        </w:rPr>
        <w:t xml:space="preserve"> </w:t>
      </w:r>
      <w:r>
        <w:rPr>
          <w:lang w:eastAsia="en-IN"/>
        </w:rPr>
        <w:t>(35+15 MW Gaya)</w:t>
      </w:r>
      <w:r>
        <w:rPr>
          <w:lang w:eastAsia="en-IN"/>
        </w:rPr>
        <w:t xml:space="preserve">, </w:t>
      </w:r>
      <w:r>
        <w:rPr>
          <w:lang w:eastAsia="en-IN"/>
        </w:rPr>
        <w:t>Tamil Nadu</w:t>
      </w:r>
      <w:r>
        <w:rPr>
          <w:lang w:eastAsia="en-IN"/>
        </w:rPr>
        <w:tab/>
      </w:r>
      <w:r>
        <w:rPr>
          <w:lang w:eastAsia="en-IN"/>
        </w:rPr>
        <w:t>(50+50+30+70 MW Tutikorin)</w:t>
      </w:r>
      <w:r>
        <w:rPr>
          <w:lang w:eastAsia="en-IN"/>
        </w:rPr>
        <w:t>, Karnataka</w:t>
      </w:r>
      <w:r>
        <w:rPr>
          <w:lang w:eastAsia="en-IN"/>
        </w:rPr>
        <w:t xml:space="preserve"> (100+50 MW Bellary)</w:t>
      </w:r>
      <w:r>
        <w:rPr>
          <w:lang w:eastAsia="en-IN"/>
        </w:rPr>
        <w:t>, Andhra Pradesh</w:t>
      </w:r>
      <w:r>
        <w:rPr>
          <w:lang w:eastAsia="en-IN"/>
        </w:rPr>
        <w:t>(30+70 MW Kaddapa)</w:t>
      </w:r>
      <w:r>
        <w:rPr>
          <w:lang w:eastAsia="en-IN"/>
        </w:rPr>
        <w:t xml:space="preserve">, Maharashtra </w:t>
      </w:r>
      <w:r>
        <w:rPr>
          <w:lang w:eastAsia="en-IN"/>
        </w:rPr>
        <w:t>(15+35 MW Baramati)</w:t>
      </w:r>
      <w:r>
        <w:rPr>
          <w:lang w:eastAsia="en-IN"/>
        </w:rPr>
        <w:t>, Punjab </w:t>
      </w:r>
      <w:r>
        <w:rPr>
          <w:lang w:eastAsia="en-IN"/>
        </w:rPr>
        <w:t>(15+15+10 MW Bathinda)</w:t>
      </w:r>
      <w:r>
        <w:rPr>
          <w:lang w:eastAsia="en-IN"/>
        </w:rPr>
        <w:t>,Rajasthan </w:t>
      </w:r>
      <w:r>
        <w:rPr>
          <w:lang w:eastAsia="en-IN"/>
        </w:rPr>
        <w:t>(150 MW Pratapgarh (wind project))     </w:t>
      </w:r>
    </w:p>
    <w:p>
      <w:pPr>
        <w:pStyle w:val="style157"/>
        <w:rPr>
          <w:lang w:eastAsia="en-IN"/>
        </w:rPr>
      </w:pPr>
    </w:p>
    <w:p>
      <w:pPr>
        <w:pStyle w:val="style0"/>
        <w:shd w:val="clear" w:color="auto" w:fill="ffffff"/>
        <w:autoSpaceDE w:val="false"/>
        <w:autoSpaceDN w:val="false"/>
        <w:adjustRightInd w:val="false"/>
        <w:spacing w:after="0" w:lineRule="auto" w:line="240"/>
        <w:jc w:val="both"/>
        <w:rPr>
          <w:rFonts w:cs="Calibri"/>
          <w:sz w:val="24"/>
          <w:szCs w:val="24"/>
        </w:rPr>
      </w:pPr>
    </w:p>
    <w:p>
      <w:pPr>
        <w:pStyle w:val="style157"/>
        <w:tabs>
          <w:tab w:val="left" w:leader="none" w:pos="7455"/>
        </w:tabs>
        <w:rPr>
          <w:b/>
          <w:bCs/>
          <w:sz w:val="20"/>
          <w:szCs w:val="20"/>
          <w:u w:val="single"/>
        </w:rPr>
      </w:pPr>
      <w:r>
        <w:rPr>
          <w:b/>
          <w:bCs/>
          <w:u w:val="single"/>
          <w:lang w:val="en-US"/>
        </w:rPr>
        <w:t>3</w:t>
      </w:r>
      <w:r>
        <w:rPr>
          <w:b/>
          <w:bCs/>
          <w:u w:val="single"/>
        </w:rPr>
        <w:t>.</w:t>
      </w:r>
      <w:r>
        <w:rPr>
          <w:b/>
          <w:bCs/>
          <w:u w:val="single"/>
        </w:rPr>
        <w:t xml:space="preserve"> Indian Coast</w:t>
      </w:r>
      <w:r>
        <w:rPr>
          <w:b/>
          <w:bCs/>
          <w:u w:val="single"/>
        </w:rPr>
        <w:t xml:space="preserve"> Guard (Jul‐2009 to Sep‐2011) Assistant Commandant,</w:t>
      </w:r>
      <w:r>
        <w:rPr>
          <w:b/>
          <w:bCs/>
          <w:sz w:val="20"/>
          <w:szCs w:val="20"/>
          <w:u w:val="single"/>
        </w:rPr>
        <w:t>(</w:t>
      </w:r>
      <w:r>
        <w:rPr>
          <w:b/>
          <w:bCs/>
          <w:u w:val="single"/>
        </w:rPr>
        <w:t>Electrical</w:t>
      </w:r>
      <w:r>
        <w:rPr>
          <w:b/>
          <w:bCs/>
          <w:u w:val="single"/>
        </w:rPr>
        <w:t xml:space="preserve"> </w:t>
      </w:r>
      <w:r>
        <w:rPr>
          <w:b/>
          <w:bCs/>
          <w:u w:val="single"/>
        </w:rPr>
        <w:t>officer</w:t>
      </w:r>
      <w:r>
        <w:rPr>
          <w:b/>
          <w:bCs/>
          <w:sz w:val="20"/>
          <w:szCs w:val="20"/>
          <w:u w:val="single"/>
        </w:rPr>
        <w:t>)</w:t>
      </w:r>
    </w:p>
    <w:p>
      <w:pPr>
        <w:pStyle w:val="style179"/>
        <w:shd w:val="clear" w:color="auto" w:fill="ffffff"/>
        <w:autoSpaceDE w:val="false"/>
        <w:autoSpaceDN w:val="false"/>
        <w:adjustRightInd w:val="false"/>
        <w:spacing w:after="0" w:lineRule="auto" w:line="240"/>
        <w:jc w:val="both"/>
        <w:rPr>
          <w:rFonts w:cs="Calibri"/>
          <w:sz w:val="24"/>
          <w:szCs w:val="24"/>
        </w:rPr>
      </w:pPr>
    </w:p>
    <w:p>
      <w:pPr>
        <w:pStyle w:val="style157"/>
        <w:rPr>
          <w:b/>
          <w:bCs/>
          <w:u w:val="single"/>
        </w:rPr>
      </w:pPr>
      <w:r>
        <w:rPr>
          <w:b/>
          <w:bCs/>
          <w:u w:val="single"/>
        </w:rPr>
        <w:t>Nature of work :</w:t>
      </w:r>
    </w:p>
    <w:p>
      <w:pPr>
        <w:pStyle w:val="style157"/>
        <w:numPr>
          <w:ilvl w:val="0"/>
          <w:numId w:val="17"/>
        </w:numPr>
        <w:rPr/>
      </w:pPr>
      <w:r>
        <w:t>Keeping the ship technically ready round the clock for patrolling and take immediate action</w:t>
      </w:r>
      <w:r>
        <w:t xml:space="preserve"> </w:t>
      </w:r>
      <w:r>
        <w:t>in case of infiltration,</w:t>
      </w:r>
      <w:r>
        <w:t xml:space="preserve"> </w:t>
      </w:r>
      <w:r>
        <w:t>natural disasters and</w:t>
      </w:r>
      <w:r>
        <w:t xml:space="preserve"> search and rescue.</w:t>
      </w:r>
    </w:p>
    <w:p>
      <w:pPr>
        <w:pStyle w:val="style157"/>
        <w:numPr>
          <w:ilvl w:val="0"/>
          <w:numId w:val="17"/>
        </w:numPr>
        <w:rPr/>
      </w:pPr>
      <w:r>
        <w:t xml:space="preserve">On board Electrical maintenance of war and patroling ship - </w:t>
      </w:r>
      <w:r>
        <w:t>Power Gener</w:t>
      </w:r>
      <w:r>
        <w:t>ation and Distribution,  lightings,</w:t>
      </w:r>
      <w:r>
        <w:t xml:space="preserve">UPS, </w:t>
      </w:r>
      <w:r>
        <w:t>LV</w:t>
      </w:r>
      <w:r>
        <w:t xml:space="preserve"> switchgears, transformers &amp; generators, A.C. system,</w:t>
      </w:r>
    </w:p>
    <w:p>
      <w:pPr>
        <w:pStyle w:val="style157"/>
        <w:ind w:left="720"/>
        <w:rPr/>
      </w:pPr>
      <w:r>
        <w:t>Cold Room, Cool Room, Reverse Osmosis system, Crane and Anchor mechanisms,</w:t>
      </w:r>
    </w:p>
    <w:p>
      <w:pPr>
        <w:pStyle w:val="style157"/>
        <w:ind w:left="720"/>
        <w:rPr/>
      </w:pPr>
      <w:r>
        <w:t>Helicopter Landing system, water pumps, fire fighting system,CRN ship mounted long range guns, anti‐corrosion (hull and propeller protection)</w:t>
      </w:r>
      <w:r>
        <w:t xml:space="preserve"> </w:t>
      </w:r>
      <w:r>
        <w:t>system.</w:t>
      </w:r>
    </w:p>
    <w:p>
      <w:pPr>
        <w:pStyle w:val="style0"/>
        <w:shd w:val="clear" w:color="auto" w:fill="ffffff"/>
        <w:autoSpaceDE w:val="false"/>
        <w:autoSpaceDN w:val="false"/>
        <w:adjustRightInd w:val="false"/>
        <w:spacing w:after="0" w:lineRule="auto" w:line="240"/>
        <w:jc w:val="both"/>
        <w:rPr>
          <w:rFonts w:cs="Calibri"/>
          <w:sz w:val="24"/>
          <w:szCs w:val="24"/>
        </w:rPr>
      </w:pPr>
    </w:p>
    <w:p>
      <w:pPr>
        <w:pStyle w:val="style157"/>
        <w:rPr>
          <w:rFonts w:cs="Calibri"/>
          <w:b/>
          <w:bCs/>
          <w:u w:val="single"/>
        </w:rPr>
      </w:pPr>
      <w:r>
        <w:rPr>
          <w:b/>
          <w:bCs/>
          <w:u w:val="single"/>
          <w:lang w:val="en-US"/>
        </w:rPr>
        <w:t>4</w:t>
      </w:r>
      <w:r>
        <w:rPr>
          <w:b/>
          <w:bCs/>
          <w:u w:val="single"/>
        </w:rPr>
        <w:t>. JPL J</w:t>
      </w:r>
      <w:r>
        <w:rPr>
          <w:b/>
          <w:bCs/>
          <w:u w:val="single"/>
        </w:rPr>
        <w:t>indal Power Limited 4X600MW (Aug</w:t>
      </w:r>
      <w:r>
        <w:rPr>
          <w:b/>
          <w:bCs/>
          <w:u w:val="single"/>
        </w:rPr>
        <w:t>‐200</w:t>
      </w:r>
      <w:r>
        <w:rPr>
          <w:b/>
          <w:bCs/>
          <w:u w:val="single"/>
        </w:rPr>
        <w:t>7</w:t>
      </w:r>
      <w:r>
        <w:rPr>
          <w:b/>
          <w:bCs/>
          <w:u w:val="single"/>
        </w:rPr>
        <w:t xml:space="preserve"> to Jul‐2009)</w:t>
      </w:r>
      <w:r>
        <w:rPr>
          <w:b/>
          <w:bCs/>
          <w:u w:val="single"/>
        </w:rPr>
        <w:t xml:space="preserve"> </w:t>
      </w:r>
      <w:r>
        <w:rPr>
          <w:rFonts w:cs="Calibri"/>
          <w:b/>
          <w:bCs/>
          <w:u w:val="single"/>
        </w:rPr>
        <w:t xml:space="preserve">As </w:t>
      </w:r>
      <w:r>
        <w:rPr>
          <w:rFonts w:cs="Calibri"/>
          <w:b/>
          <w:bCs/>
          <w:u w:val="single"/>
        </w:rPr>
        <w:t>Executive</w:t>
      </w:r>
      <w:r>
        <w:rPr>
          <w:rFonts w:cs="Calibri"/>
          <w:b/>
          <w:bCs/>
          <w:u w:val="single"/>
        </w:rPr>
        <w:t xml:space="preserve"> Engineer</w:t>
      </w:r>
      <w:r>
        <w:rPr>
          <w:rFonts w:cs="Calibri"/>
          <w:b/>
          <w:bCs/>
          <w:u w:val="single"/>
        </w:rPr>
        <w:t xml:space="preserve"> </w:t>
      </w:r>
      <w:r>
        <w:rPr>
          <w:rFonts w:cs="Calibri"/>
          <w:b/>
          <w:bCs/>
          <w:u w:val="single"/>
        </w:rPr>
        <w:t>(Electrical)</w:t>
      </w:r>
    </w:p>
    <w:p>
      <w:pPr>
        <w:pStyle w:val="style157"/>
        <w:rPr>
          <w:b/>
          <w:bCs/>
        </w:rPr>
      </w:pPr>
    </w:p>
    <w:p>
      <w:pPr>
        <w:pStyle w:val="style157"/>
        <w:rPr>
          <w:b/>
          <w:bCs/>
        </w:rPr>
      </w:pPr>
      <w:r>
        <w:rPr>
          <w:b/>
          <w:bCs/>
        </w:rPr>
        <w:t>O&amp;M (4X250 MW)</w:t>
      </w:r>
    </w:p>
    <w:p>
      <w:pPr>
        <w:pStyle w:val="style157"/>
        <w:numPr>
          <w:ilvl w:val="0"/>
          <w:numId w:val="13"/>
        </w:numPr>
        <w:rPr>
          <w:rFonts w:ascii="Calibri-Bold" w:cs="Calibri-Bold" w:hAnsi="Calibri-Bold"/>
          <w:b/>
          <w:bCs/>
        </w:rPr>
      </w:pPr>
      <w:r>
        <w:t xml:space="preserve">Maintenance </w:t>
      </w:r>
      <w:r>
        <w:t xml:space="preserve">of </w:t>
      </w:r>
      <w:r>
        <w:t>ESP, CHP, Mills, Transformers</w:t>
      </w:r>
      <w:r>
        <w:t xml:space="preserve">, </w:t>
      </w:r>
      <w:r>
        <w:t>400/220/132/33 kV switch yard.</w:t>
      </w:r>
    </w:p>
    <w:p>
      <w:pPr>
        <w:pStyle w:val="style179"/>
        <w:shd w:val="clear" w:color="auto" w:fill="ffffff"/>
        <w:autoSpaceDE w:val="false"/>
        <w:autoSpaceDN w:val="false"/>
        <w:adjustRightInd w:val="false"/>
        <w:spacing w:after="0" w:lineRule="auto" w:line="240"/>
        <w:jc w:val="both"/>
        <w:rPr>
          <w:rFonts w:ascii="Calibri-Bold" w:cs="Calibri-Bold" w:hAnsi="Calibri-Bold"/>
          <w:b/>
          <w:bCs/>
          <w:sz w:val="24"/>
          <w:szCs w:val="24"/>
        </w:rPr>
      </w:pPr>
    </w:p>
    <w:p>
      <w:pPr>
        <w:pStyle w:val="style157"/>
        <w:rPr>
          <w:b/>
          <w:bCs/>
        </w:rPr>
      </w:pPr>
      <w:r>
        <w:rPr>
          <w:b/>
          <w:bCs/>
        </w:rPr>
        <w:t>Project (4X600 MW)</w:t>
      </w:r>
    </w:p>
    <w:p>
      <w:pPr>
        <w:pStyle w:val="style157"/>
        <w:numPr>
          <w:ilvl w:val="0"/>
          <w:numId w:val="11"/>
        </w:numPr>
        <w:rPr/>
      </w:pPr>
      <w:r>
        <w:t>Under take familiarization with project and discipline specific inspection documentation to establish compliance with the specification and to ensure they are suitable for the intended.</w:t>
      </w:r>
    </w:p>
    <w:p>
      <w:pPr>
        <w:pStyle w:val="style157"/>
        <w:numPr>
          <w:ilvl w:val="0"/>
          <w:numId w:val="11"/>
        </w:numPr>
        <w:rPr/>
      </w:pPr>
      <w:r>
        <w:t>Billing &amp; on site supervision.</w:t>
      </w:r>
    </w:p>
    <w:p>
      <w:pPr>
        <w:pStyle w:val="style157"/>
        <w:numPr>
          <w:ilvl w:val="0"/>
          <w:numId w:val="11"/>
        </w:numPr>
        <w:rPr/>
      </w:pPr>
      <w:r>
        <w:t>Erection,</w:t>
      </w:r>
      <w:r>
        <w:t>Testing, Commissioning of Power Transformers, AC motors, pumps, HT</w:t>
      </w:r>
    </w:p>
    <w:p>
      <w:pPr>
        <w:pStyle w:val="style157"/>
        <w:ind w:left="720"/>
        <w:rPr/>
      </w:pPr>
      <w:r>
        <w:t>Panels</w:t>
      </w:r>
      <w:r>
        <w:t xml:space="preserve"> </w:t>
      </w:r>
      <w:r>
        <w:t>(33kV ,11 kV ), HT Cable laying, Area Lighting, Construction Power, Compact</w:t>
      </w:r>
      <w:r>
        <w:t xml:space="preserve">  </w:t>
      </w:r>
      <w:r>
        <w:t xml:space="preserve">Substation, </w:t>
      </w:r>
      <w:r>
        <w:t xml:space="preserve"> </w:t>
      </w:r>
      <w:r>
        <w:t>33kV sub‐station</w:t>
      </w:r>
    </w:p>
    <w:p>
      <w:pPr>
        <w:pStyle w:val="style179"/>
        <w:shd w:val="clear" w:color="auto" w:fill="ffffff"/>
        <w:autoSpaceDE w:val="false"/>
        <w:autoSpaceDN w:val="false"/>
        <w:adjustRightInd w:val="false"/>
        <w:spacing w:after="0" w:lineRule="auto" w:line="240"/>
        <w:jc w:val="both"/>
        <w:rPr>
          <w:rFonts w:cs="Calibri"/>
          <w:sz w:val="24"/>
          <w:szCs w:val="24"/>
        </w:rPr>
      </w:pPr>
    </w:p>
    <w:p>
      <w:pPr>
        <w:pStyle w:val="style0"/>
        <w:shd w:val="clear" w:color="auto" w:fill="ffffff"/>
        <w:autoSpaceDE w:val="false"/>
        <w:autoSpaceDN w:val="false"/>
        <w:adjustRightInd w:val="false"/>
        <w:spacing w:after="0" w:lineRule="auto" w:line="240"/>
        <w:jc w:val="both"/>
        <w:rPr>
          <w:b/>
          <w:bCs/>
        </w:rPr>
      </w:pPr>
      <w:r>
        <w:rPr>
          <w:b/>
          <w:bCs/>
        </w:rPr>
        <w:t>TECHNICAL TRAININGS</w:t>
      </w:r>
    </w:p>
    <w:p>
      <w:pPr>
        <w:pStyle w:val="style157"/>
        <w:numPr>
          <w:ilvl w:val="0"/>
          <w:numId w:val="4"/>
        </w:numPr>
        <w:rPr/>
      </w:pPr>
      <w:r>
        <w:t>Undergone 3 months classroom training in Electrical Designing/sizing (Transformer, CT/PT,</w:t>
      </w:r>
      <w:r>
        <w:t xml:space="preserve"> </w:t>
      </w:r>
      <w:r>
        <w:t>Switchyard, Motor, Generator, Panel, Cable, Hazardous Area Classification) from Smart Brains institute.</w:t>
      </w:r>
    </w:p>
    <w:p>
      <w:pPr>
        <w:pStyle w:val="style157"/>
        <w:numPr>
          <w:ilvl w:val="0"/>
          <w:numId w:val="4"/>
        </w:numPr>
        <w:rPr/>
      </w:pPr>
      <w:r>
        <w:t>On job NPTI based Training for Thermal Plant operation (Power Engineering).</w:t>
      </w:r>
    </w:p>
    <w:p>
      <w:pPr>
        <w:pStyle w:val="style157"/>
        <w:numPr>
          <w:ilvl w:val="0"/>
          <w:numId w:val="4"/>
        </w:numPr>
        <w:rPr/>
      </w:pPr>
      <w:r>
        <w:t>Training on Embedded Systems.</w:t>
      </w:r>
    </w:p>
    <w:p>
      <w:pPr>
        <w:pStyle w:val="style179"/>
        <w:shd w:val="clear" w:color="auto" w:fill="ffffff"/>
        <w:autoSpaceDE w:val="false"/>
        <w:autoSpaceDN w:val="false"/>
        <w:adjustRightInd w:val="false"/>
        <w:spacing w:after="0" w:lineRule="auto" w:line="240"/>
        <w:jc w:val="both"/>
        <w:rPr>
          <w:rFonts w:cs="Calibri"/>
          <w:sz w:val="24"/>
          <w:szCs w:val="24"/>
        </w:rPr>
      </w:pPr>
    </w:p>
    <w:p>
      <w:pPr>
        <w:pStyle w:val="style0"/>
        <w:shd w:val="clear" w:color="auto" w:fill="ffffff"/>
        <w:autoSpaceDE w:val="false"/>
        <w:autoSpaceDN w:val="false"/>
        <w:adjustRightInd w:val="false"/>
        <w:spacing w:after="0" w:lineRule="auto" w:line="240"/>
        <w:jc w:val="both"/>
        <w:rPr>
          <w:b/>
          <w:bCs/>
        </w:rPr>
      </w:pPr>
      <w:r>
        <w:rPr>
          <w:b/>
          <w:bCs/>
        </w:rPr>
        <w:t>COMPUTER SKILLS</w:t>
      </w:r>
    </w:p>
    <w:p>
      <w:pPr>
        <w:pStyle w:val="style157"/>
        <w:numPr>
          <w:ilvl w:val="0"/>
          <w:numId w:val="19"/>
        </w:numPr>
        <w:rPr/>
      </w:pPr>
      <w:r>
        <w:t>SAP mm module</w:t>
      </w:r>
      <w:r>
        <w:t xml:space="preserve">, </w:t>
      </w:r>
      <w:r>
        <w:t>Tally 9 ERP</w:t>
      </w:r>
      <w:r>
        <w:t>,</w:t>
      </w:r>
      <w:r>
        <w:t>Auto CAD 19.1</w:t>
      </w:r>
      <w:r>
        <w:t>,</w:t>
      </w:r>
      <w:r>
        <w:t>LabView</w:t>
      </w:r>
      <w:r>
        <w:t>,</w:t>
      </w:r>
      <w:r>
        <w:t>Word , XL, Power Point</w:t>
      </w:r>
    </w:p>
    <w:p>
      <w:pPr>
        <w:pStyle w:val="style179"/>
        <w:shd w:val="clear" w:color="auto" w:fill="ffffff"/>
        <w:autoSpaceDE w:val="false"/>
        <w:autoSpaceDN w:val="false"/>
        <w:adjustRightInd w:val="false"/>
        <w:spacing w:after="0" w:lineRule="auto" w:line="240"/>
        <w:jc w:val="both"/>
        <w:rPr>
          <w:rFonts w:cs="Calibri"/>
          <w:sz w:val="24"/>
          <w:szCs w:val="24"/>
        </w:rPr>
      </w:pPr>
    </w:p>
    <w:p>
      <w:pPr>
        <w:pStyle w:val="style0"/>
        <w:shd w:val="clear" w:color="auto" w:fill="ffffff"/>
        <w:autoSpaceDE w:val="false"/>
        <w:autoSpaceDN w:val="false"/>
        <w:adjustRightInd w:val="false"/>
        <w:spacing w:after="0" w:lineRule="auto" w:line="240"/>
        <w:jc w:val="both"/>
        <w:rPr>
          <w:b/>
          <w:bCs/>
        </w:rPr>
      </w:pPr>
      <w:r>
        <w:rPr>
          <w:b/>
          <w:bCs/>
        </w:rPr>
        <w:t>CORE COMPETENCIES</w:t>
      </w:r>
    </w:p>
    <w:p>
      <w:pPr>
        <w:pStyle w:val="style157"/>
        <w:ind w:firstLine="720"/>
        <w:rPr/>
      </w:pPr>
      <w:r>
        <w:t>PROCUREMENT</w:t>
      </w:r>
      <w:r>
        <w:t xml:space="preserve">, </w:t>
      </w:r>
      <w:r>
        <w:t>PROJECT MANAGEMENT</w:t>
      </w:r>
      <w:r>
        <w:t>,</w:t>
      </w:r>
      <w:r>
        <w:t>ERECTION AND COMMISSIONING</w:t>
      </w:r>
      <w:r>
        <w:t>,</w:t>
      </w:r>
    </w:p>
    <w:p>
      <w:pPr>
        <w:pStyle w:val="style157"/>
        <w:ind w:firstLine="720"/>
        <w:rPr>
          <w:rFonts w:cs="Calibri"/>
          <w:sz w:val="24"/>
          <w:szCs w:val="24"/>
        </w:rPr>
      </w:pPr>
      <w:r>
        <w:t xml:space="preserve"> </w:t>
      </w:r>
      <w:r>
        <w:t>OPERATION &amp; MAINTENANCE</w:t>
      </w:r>
    </w:p>
    <w:p>
      <w:pPr>
        <w:pStyle w:val="style0"/>
        <w:shd w:val="clear" w:color="auto" w:fill="ffffff"/>
        <w:autoSpaceDE w:val="false"/>
        <w:autoSpaceDN w:val="false"/>
        <w:adjustRightInd w:val="false"/>
        <w:spacing w:after="0" w:lineRule="auto" w:line="240"/>
        <w:jc w:val="both"/>
        <w:rPr>
          <w:rFonts w:ascii="Calibri-Bold" w:cs="Calibri-Bold" w:hAnsi="Calibri-Bold"/>
          <w:b/>
          <w:bCs/>
          <w:sz w:val="24"/>
          <w:szCs w:val="24"/>
        </w:rPr>
      </w:pPr>
    </w:p>
    <w:p>
      <w:pPr>
        <w:pStyle w:val="style0"/>
        <w:shd w:val="clear" w:color="auto" w:fill="ffffff"/>
        <w:autoSpaceDE w:val="false"/>
        <w:autoSpaceDN w:val="false"/>
        <w:adjustRightInd w:val="false"/>
        <w:spacing w:after="0" w:lineRule="auto" w:line="240"/>
        <w:jc w:val="both"/>
        <w:rPr>
          <w:rFonts w:ascii="Calibri-Bold" w:cs="Calibri-Bold" w:hAnsi="Calibri-Bold"/>
          <w:b/>
          <w:bCs/>
          <w:sz w:val="24"/>
          <w:szCs w:val="24"/>
        </w:rPr>
      </w:pPr>
      <w:r>
        <w:rPr>
          <w:b/>
          <w:bCs/>
        </w:rPr>
        <w:t>ACADEMIC DETAILS</w:t>
      </w:r>
    </w:p>
    <w:tbl>
      <w:tblPr>
        <w:tblStyle w:val="style154"/>
        <w:tblW w:w="0" w:type="auto"/>
        <w:tblLook w:val="04A0" w:firstRow="1" w:lastRow="0" w:firstColumn="1" w:lastColumn="0" w:noHBand="0" w:noVBand="1"/>
      </w:tblPr>
      <w:tblGrid>
        <w:gridCol w:w="790"/>
        <w:gridCol w:w="2002"/>
        <w:gridCol w:w="4315"/>
        <w:gridCol w:w="709"/>
        <w:gridCol w:w="1351"/>
      </w:tblGrid>
      <w:tr>
        <w:trPr/>
        <w:tc>
          <w:tcPr>
            <w:tcW w:w="0" w:type="auto"/>
            <w:tcBorders/>
          </w:tcPr>
          <w:p>
            <w:pPr>
              <w:pStyle w:val="style157"/>
              <w:rPr>
                <w:b/>
                <w:bCs/>
              </w:rPr>
            </w:pPr>
            <w:r>
              <w:rPr>
                <w:b/>
                <w:bCs/>
              </w:rPr>
              <w:t>Sr. no</w:t>
            </w:r>
          </w:p>
        </w:tc>
        <w:tc>
          <w:tcPr>
            <w:tcW w:w="0" w:type="auto"/>
            <w:tcBorders/>
          </w:tcPr>
          <w:p>
            <w:pPr>
              <w:pStyle w:val="style157"/>
              <w:rPr>
                <w:b/>
                <w:bCs/>
              </w:rPr>
            </w:pPr>
            <w:r>
              <w:rPr>
                <w:b/>
                <w:bCs/>
              </w:rPr>
              <w:t>Qualification</w:t>
            </w:r>
          </w:p>
        </w:tc>
        <w:tc>
          <w:tcPr>
            <w:tcW w:w="0" w:type="auto"/>
            <w:tcBorders/>
          </w:tcPr>
          <w:p>
            <w:pPr>
              <w:pStyle w:val="style157"/>
              <w:rPr>
                <w:b/>
                <w:bCs/>
              </w:rPr>
            </w:pPr>
            <w:r>
              <w:rPr>
                <w:b/>
                <w:bCs/>
              </w:rPr>
              <w:t>Institution</w:t>
            </w:r>
          </w:p>
        </w:tc>
        <w:tc>
          <w:tcPr>
            <w:tcW w:w="0" w:type="auto"/>
            <w:tcBorders/>
          </w:tcPr>
          <w:p>
            <w:pPr>
              <w:pStyle w:val="style157"/>
              <w:rPr>
                <w:b/>
                <w:bCs/>
              </w:rPr>
            </w:pPr>
            <w:r>
              <w:rPr>
                <w:b/>
                <w:bCs/>
              </w:rPr>
              <w:t>Year</w:t>
            </w:r>
          </w:p>
        </w:tc>
        <w:tc>
          <w:tcPr>
            <w:tcW w:w="0" w:type="auto"/>
            <w:tcBorders/>
          </w:tcPr>
          <w:p>
            <w:pPr>
              <w:pStyle w:val="style157"/>
              <w:rPr>
                <w:b/>
                <w:bCs/>
              </w:rPr>
            </w:pPr>
            <w:r>
              <w:rPr>
                <w:b/>
                <w:bCs/>
              </w:rPr>
              <w:t>Percentage</w:t>
            </w:r>
          </w:p>
        </w:tc>
      </w:tr>
      <w:tr>
        <w:tblPrEx/>
        <w:trPr/>
        <w:tc>
          <w:tcPr>
            <w:tcW w:w="0" w:type="auto"/>
            <w:tcBorders/>
            <w:vAlign w:val="center"/>
          </w:tcPr>
          <w:p>
            <w:pPr>
              <w:pStyle w:val="style157"/>
              <w:rPr/>
            </w:pPr>
            <w:r>
              <w:t>1</w:t>
            </w:r>
          </w:p>
        </w:tc>
        <w:tc>
          <w:tcPr>
            <w:tcW w:w="0" w:type="auto"/>
            <w:tcBorders/>
            <w:vAlign w:val="center"/>
          </w:tcPr>
          <w:p>
            <w:pPr>
              <w:pStyle w:val="style157"/>
              <w:rPr/>
            </w:pPr>
            <w:r>
              <w:t>B.Tech-(Electrical)</w:t>
            </w:r>
          </w:p>
        </w:tc>
        <w:tc>
          <w:tcPr>
            <w:tcW w:w="0" w:type="auto"/>
            <w:tcBorders/>
            <w:vAlign w:val="center"/>
          </w:tcPr>
          <w:p>
            <w:pPr>
              <w:pStyle w:val="style157"/>
              <w:rPr/>
            </w:pPr>
            <w:r>
              <w:t>IEET-Baddi , Himachal Pradesh University</w:t>
            </w:r>
            <w:r>
              <w:t xml:space="preserve"> </w:t>
            </w:r>
          </w:p>
        </w:tc>
        <w:tc>
          <w:tcPr>
            <w:tcW w:w="0" w:type="auto"/>
            <w:tcBorders/>
            <w:vAlign w:val="center"/>
          </w:tcPr>
          <w:p>
            <w:pPr>
              <w:pStyle w:val="style157"/>
              <w:rPr/>
            </w:pPr>
            <w:r>
              <w:t>2007</w:t>
            </w:r>
          </w:p>
        </w:tc>
        <w:tc>
          <w:tcPr>
            <w:tcW w:w="0" w:type="auto"/>
            <w:tcBorders/>
            <w:vAlign w:val="center"/>
          </w:tcPr>
          <w:p>
            <w:pPr>
              <w:pStyle w:val="style157"/>
              <w:rPr/>
            </w:pPr>
            <w:r>
              <w:t>71.92</w:t>
            </w:r>
          </w:p>
        </w:tc>
      </w:tr>
      <w:tr>
        <w:tblPrEx/>
        <w:trPr/>
        <w:tc>
          <w:tcPr>
            <w:tcW w:w="0" w:type="auto"/>
            <w:tcBorders/>
            <w:vAlign w:val="center"/>
          </w:tcPr>
          <w:p>
            <w:pPr>
              <w:pStyle w:val="style157"/>
              <w:rPr/>
            </w:pPr>
            <w:r>
              <w:t>2</w:t>
            </w:r>
          </w:p>
        </w:tc>
        <w:tc>
          <w:tcPr>
            <w:tcW w:w="0" w:type="auto"/>
            <w:tcBorders/>
            <w:vAlign w:val="center"/>
          </w:tcPr>
          <w:p>
            <w:pPr>
              <w:pStyle w:val="style157"/>
              <w:rPr/>
            </w:pPr>
            <w:r>
              <w:t>10+2</w:t>
            </w:r>
          </w:p>
        </w:tc>
        <w:tc>
          <w:tcPr>
            <w:tcW w:w="0" w:type="auto"/>
            <w:tcBorders/>
            <w:vAlign w:val="center"/>
          </w:tcPr>
          <w:p>
            <w:pPr>
              <w:pStyle w:val="style157"/>
              <w:rPr/>
            </w:pPr>
            <w:r>
              <w:t>Govt. Model Sr. Sec. School Sec-19C, CHD</w:t>
            </w:r>
          </w:p>
        </w:tc>
        <w:tc>
          <w:tcPr>
            <w:tcW w:w="0" w:type="auto"/>
            <w:tcBorders/>
            <w:vAlign w:val="center"/>
          </w:tcPr>
          <w:p>
            <w:pPr>
              <w:pStyle w:val="style157"/>
              <w:rPr/>
            </w:pPr>
            <w:r>
              <w:t>2002</w:t>
            </w:r>
          </w:p>
        </w:tc>
        <w:tc>
          <w:tcPr>
            <w:tcW w:w="0" w:type="auto"/>
            <w:tcBorders/>
            <w:vAlign w:val="center"/>
          </w:tcPr>
          <w:p>
            <w:pPr>
              <w:pStyle w:val="style157"/>
              <w:rPr/>
            </w:pPr>
            <w:r>
              <w:t>62.4</w:t>
            </w:r>
          </w:p>
        </w:tc>
      </w:tr>
      <w:tr>
        <w:tblPrEx/>
        <w:trPr/>
        <w:tc>
          <w:tcPr>
            <w:tcW w:w="0" w:type="auto"/>
            <w:tcBorders/>
            <w:vAlign w:val="center"/>
          </w:tcPr>
          <w:p>
            <w:pPr>
              <w:pStyle w:val="style157"/>
              <w:rPr/>
            </w:pPr>
            <w:r>
              <w:t>3</w:t>
            </w:r>
          </w:p>
        </w:tc>
        <w:tc>
          <w:tcPr>
            <w:tcW w:w="0" w:type="auto"/>
            <w:tcBorders/>
            <w:vAlign w:val="center"/>
          </w:tcPr>
          <w:p>
            <w:pPr>
              <w:pStyle w:val="style157"/>
              <w:rPr/>
            </w:pPr>
            <w:r>
              <w:t>10</w:t>
            </w:r>
            <w:r>
              <w:rPr>
                <w:vertAlign w:val="superscript"/>
              </w:rPr>
              <w:t>th</w:t>
            </w:r>
          </w:p>
        </w:tc>
        <w:tc>
          <w:tcPr>
            <w:tcW w:w="0" w:type="auto"/>
            <w:tcBorders/>
            <w:vAlign w:val="center"/>
          </w:tcPr>
          <w:p>
            <w:pPr>
              <w:pStyle w:val="style157"/>
              <w:rPr/>
            </w:pPr>
            <w:r>
              <w:t>Govt. Model Sr. Sec. School Sec-19C, CHD</w:t>
            </w:r>
          </w:p>
        </w:tc>
        <w:tc>
          <w:tcPr>
            <w:tcW w:w="0" w:type="auto"/>
            <w:tcBorders/>
            <w:vAlign w:val="center"/>
          </w:tcPr>
          <w:p>
            <w:pPr>
              <w:pStyle w:val="style157"/>
              <w:rPr/>
            </w:pPr>
            <w:r>
              <w:t>2000</w:t>
            </w:r>
          </w:p>
        </w:tc>
        <w:tc>
          <w:tcPr>
            <w:tcW w:w="0" w:type="auto"/>
            <w:tcBorders/>
            <w:vAlign w:val="center"/>
          </w:tcPr>
          <w:p>
            <w:pPr>
              <w:pStyle w:val="style157"/>
              <w:rPr/>
            </w:pPr>
            <w:r>
              <w:t>82.8</w:t>
            </w:r>
          </w:p>
        </w:tc>
      </w:tr>
    </w:tbl>
    <w:p>
      <w:pPr>
        <w:pStyle w:val="style0"/>
        <w:shd w:val="clear" w:color="auto" w:fill="ffffff"/>
        <w:autoSpaceDE w:val="false"/>
        <w:autoSpaceDN w:val="false"/>
        <w:adjustRightInd w:val="false"/>
        <w:spacing w:after="0" w:lineRule="auto" w:line="240"/>
        <w:jc w:val="both"/>
        <w:rPr>
          <w:b/>
          <w:bCs/>
        </w:rPr>
      </w:pPr>
      <w:r>
        <w:rPr>
          <w:b/>
          <w:bCs/>
        </w:rPr>
        <w:t>Personal Details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rFonts w:cs="Calibri"/>
          <w:b/>
          <w:bCs/>
          <w:sz w:val="24"/>
          <w:szCs w:val="24"/>
        </w:rPr>
        <w:t>Correspondence Address:</w:t>
      </w:r>
    </w:p>
    <w:p>
      <w:pPr>
        <w:pStyle w:val="style157"/>
        <w:rPr/>
      </w:pPr>
      <w:r>
        <w:t>Name</w:t>
      </w:r>
      <w:r>
        <w:tab/>
      </w:r>
      <w:r>
        <w:tab/>
      </w:r>
      <w:r>
        <w:t>: Kumar Mangalam</w:t>
      </w:r>
      <w:r>
        <w:tab/>
      </w:r>
      <w:r>
        <w:tab/>
      </w:r>
      <w:r>
        <w:tab/>
      </w:r>
      <w:r>
        <w:t>#3015, C/o Ashok Kumar Singh,</w:t>
      </w:r>
    </w:p>
    <w:p>
      <w:pPr>
        <w:pStyle w:val="style157"/>
        <w:rPr/>
      </w:pPr>
      <w:r>
        <w:t>DOB</w:t>
      </w:r>
      <w:r>
        <w:tab/>
      </w:r>
      <w:r>
        <w:tab/>
      </w:r>
      <w:r>
        <w:t>: 21.06.1984</w:t>
      </w:r>
      <w:r>
        <w:tab/>
      </w:r>
      <w:r>
        <w:tab/>
      </w:r>
      <w:r>
        <w:tab/>
      </w:r>
      <w:r>
        <w:tab/>
      </w:r>
      <w:r>
        <w:t xml:space="preserve">Sector 4F, Bokaro Steel City </w:t>
      </w:r>
    </w:p>
    <w:p>
      <w:pPr>
        <w:pStyle w:val="style157"/>
        <w:rPr>
          <w:rFonts w:cs="Calibri"/>
          <w:sz w:val="24"/>
          <w:szCs w:val="24"/>
        </w:rPr>
      </w:pPr>
      <w:r>
        <w:t>Marital Status</w:t>
      </w:r>
      <w:r>
        <w:tab/>
      </w:r>
      <w:r>
        <w:t>: Married</w:t>
      </w:r>
      <w:r>
        <w:tab/>
      </w:r>
      <w:r>
        <w:tab/>
      </w:r>
      <w:r>
        <w:tab/>
      </w:r>
      <w:r>
        <w:tab/>
      </w:r>
      <w:r>
        <w:t>Jharkhand - 827004.</w:t>
      </w:r>
    </w:p>
    <w:p>
      <w:pPr>
        <w:pStyle w:val="style157"/>
        <w:rPr/>
      </w:pPr>
    </w:p>
    <w:p>
      <w:pPr>
        <w:pStyle w:val="style157"/>
        <w:rPr>
          <w:rFonts w:ascii="Calibri-Bold" w:cs="Calibri-Bold" w:hAnsi="Calibri-Bold"/>
          <w:b/>
          <w:bCs/>
          <w:sz w:val="24"/>
          <w:szCs w:val="24"/>
        </w:rPr>
      </w:pPr>
      <w:r>
        <w:t>I hereby declare that the above furnished details are true to the best of my knowledge.</w:t>
      </w:r>
    </w:p>
    <w:p>
      <w:pPr>
        <w:pStyle w:val="style0"/>
        <w:shd w:val="clear" w:color="auto" w:fill="ffffff"/>
        <w:jc w:val="both"/>
        <w:rPr>
          <w:sz w:val="24"/>
          <w:szCs w:val="24"/>
        </w:rPr>
      </w:pPr>
      <w:r>
        <w:rPr>
          <w:rFonts w:ascii="Calibri-Bold" w:cs="Calibri-Bold" w:hAnsi="Calibri-Bold"/>
          <w:b/>
          <w:bCs/>
          <w:sz w:val="24"/>
          <w:szCs w:val="24"/>
        </w:rPr>
        <w:t>KUMAR MANGALAM</w:t>
      </w:r>
    </w:p>
    <w:sectPr>
      <w:headerReference w:type="default" r:id="rId2"/>
      <w:pgSz w:w="11906" w:h="16838" w:orient="portrait"/>
      <w:pgMar w:top="1440" w:right="1440" w:bottom="1135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20002A87" w:usb1="80000000" w:usb2="00000008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20002A87" w:usb1="80000000" w:usb2="00000008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MT">
    <w:altName w:val="Microsoft JhengHei"/>
    <w:panose1 w:val="00000000000000000000"/>
    <w:charset w:val="88"/>
    <w:family w:val="auto"/>
    <w:pitch w:val="default"/>
    <w:sig w:usb0="00000001" w:usb1="08080000" w:usb2="00000010" w:usb3="00000000" w:csb0="00100000" w:csb1="00000000"/>
  </w:font>
  <w:font w:name="Calibri-Bold">
    <w:altName w:val="Calibri"/>
    <w:panose1 w:val="00000000000000000000"/>
    <w:charset w:val="00"/>
    <w:family w:val="swiss"/>
    <w:pitch w:val="default"/>
    <w:sig w:usb0="00000003" w:usb1="00000000" w:usb2="00000000" w:usb3="00000000" w:csb0="00000001" w:csb1="00000000"/>
  </w:font>
  <w:font w:name="Calibri">
    <w:altName w:val="Calibri"/>
    <w:panose1 w:val="020f0502020002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Cambria">
    <w:altName w:val="Cambria"/>
    <w:panose1 w:val="02040503050004030204"/>
    <w:charset w:val="00"/>
    <w:family w:val="roman"/>
    <w:pitch w:val="variable"/>
    <w:sig w:usb0="E00006FF" w:usb1="400004FF" w:usb2="00000000" w:usb3="00000000" w:csb0="0000019F" w:csb1="00000000"/>
  </w:font>
  <w:font w:name="Mangal">
    <w:altName w:val="Mangal"/>
    <w:panose1 w:val="00000400000000000000"/>
    <w:charset w:val="01"/>
    <w:family w:val="auto"/>
    <w:pitch w:val="variable"/>
    <w:sig w:usb0="00008000" w:usb1="00000000" w:usb2="00000000" w:usb3="00000000" w:csb0="00000000" w:csb1="00000000"/>
  </w:font>
</w:fonts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rPr/>
    </w:pPr>
  </w:p>
  <w:p>
    <w:pPr>
      <w:pStyle w:val="style0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1D2EC35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2A8394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541ABEC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7F0ED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C5F876D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0000005"/>
    <w:multiLevelType w:val="hybridMultilevel"/>
    <w:tmpl w:val="FC5AD1D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4C18CCF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A6BE503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0C1CF7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ABB839D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000000A"/>
    <w:multiLevelType w:val="hybridMultilevel"/>
    <w:tmpl w:val="759ECD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4C246C4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000000C"/>
    <w:multiLevelType w:val="hybridMultilevel"/>
    <w:tmpl w:val="07824E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0E80962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A2DAE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DDBACEE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C1CC41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D3BA391C"/>
    <w:lvl w:ilvl="0" w:tplc="689EEFBC">
      <w:start w:val="1"/>
      <w:numFmt w:val="decimal"/>
      <w:lvlText w:val="%1."/>
      <w:lvlJc w:val="left"/>
      <w:pPr>
        <w:ind w:left="720" w:hanging="360"/>
      </w:pPr>
      <w:rPr>
        <w:rFonts w:ascii="Calibri" w:cs="Calibri" w:eastAsia="Calibri" w:hAnsi="Calibri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0000012"/>
    <w:multiLevelType w:val="multilevel"/>
    <w:tmpl w:val="713A4EFC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00000013"/>
    <w:multiLevelType w:val="hybridMultilevel"/>
    <w:tmpl w:val="F9746874"/>
    <w:lvl w:ilvl="0" w:tplc="55AAED9C">
      <w:start w:val="1"/>
      <w:numFmt w:val="bullet"/>
      <w:lvlText w:val=""/>
      <w:lvlJc w:val="left"/>
      <w:pPr>
        <w:ind w:left="720" w:hanging="360"/>
      </w:pPr>
      <w:rPr>
        <w:rFonts w:ascii="SymbolMT" w:cs="SymbolMT" w:eastAsia="SymbolMT" w:hAnsi="Calibri-Bold" w:hint="eastAsia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6"/>
  </w:num>
  <w:num w:numId="3">
    <w:abstractNumId w:val="5"/>
  </w:num>
  <w:num w:numId="4">
    <w:abstractNumId w:val="8"/>
  </w:num>
  <w:num w:numId="5">
    <w:abstractNumId w:val="11"/>
  </w:num>
  <w:num w:numId="6">
    <w:abstractNumId w:val="7"/>
  </w:num>
  <w:num w:numId="7">
    <w:abstractNumId w:val="4"/>
  </w:num>
  <w:num w:numId="8">
    <w:abstractNumId w:val="16"/>
  </w:num>
  <w:num w:numId="9">
    <w:abstractNumId w:val="18"/>
  </w:num>
  <w:num w:numId="10">
    <w:abstractNumId w:val="0"/>
  </w:num>
  <w:num w:numId="11">
    <w:abstractNumId w:val="10"/>
  </w:num>
  <w:num w:numId="12">
    <w:abstractNumId w:val="9"/>
  </w:num>
  <w:num w:numId="13">
    <w:abstractNumId w:val="12"/>
  </w:num>
  <w:num w:numId="14">
    <w:abstractNumId w:val="15"/>
  </w:num>
  <w:num w:numId="15">
    <w:abstractNumId w:val="2"/>
  </w:num>
  <w:num w:numId="16">
    <w:abstractNumId w:val="13"/>
  </w:num>
  <w:num w:numId="17">
    <w:abstractNumId w:val="14"/>
  </w:num>
  <w:num w:numId="18">
    <w:abstractNumId w:val="1"/>
  </w:num>
  <w:num w:numId="19">
    <w:abstractNumId w:val="3"/>
  </w:num>
  <w:num w:numId="20">
    <w:abstractNumId w:val="17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SimSun" w:eastAsia="Calibri" w:hAnsi="Calibri"/>
        <w:sz w:val="22"/>
        <w:szCs w:val="22"/>
        <w:lang w:val="en-IN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styleId="style85">
    <w:name w:val="Hyperlink"/>
    <w:basedOn w:val="style65"/>
    <w:next w:val="style85"/>
    <w:uiPriority w:val="99"/>
    <w:rPr>
      <w:color w:val="0563c1"/>
      <w:u w:val="single"/>
    </w:rPr>
  </w:style>
  <w:style w:type="character" w:customStyle="1" w:styleId="style4097">
    <w:name w:val="Unresolved Mention1"/>
    <w:basedOn w:val="style65"/>
    <w:next w:val="style4097"/>
    <w:uiPriority w:val="99"/>
    <w:rPr>
      <w:color w:val="605e5c"/>
      <w:shd w:val="clear" w:color="auto" w:fill="e1dfdd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table" w:styleId="style154">
    <w:name w:val="Table Grid"/>
    <w:basedOn w:val="style105"/>
    <w:next w:val="style154"/>
    <w:uiPriority w:val="39"/>
    <w:pPr>
      <w:spacing w:after="0" w:lineRule="auto" w:line="240"/>
    </w:pPr>
    <w:rPr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157">
    <w:name w:val="No Spacing"/>
    <w:next w:val="style157"/>
    <w:qFormat/>
    <w:uiPriority w:val="1"/>
    <w:pPr>
      <w:spacing w:after="0" w:lineRule="auto" w:line="240"/>
    </w:pPr>
    <w:rPr/>
  </w:style>
  <w:style w:type="paragraph" w:styleId="style31">
    <w:name w:val="header"/>
    <w:basedOn w:val="style0"/>
    <w:next w:val="style31"/>
    <w:link w:val="style4098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8">
    <w:name w:val="Header Char_d2089ba8-e345-414f-b3f9-56a74e880556"/>
    <w:basedOn w:val="style65"/>
    <w:next w:val="style4098"/>
    <w:link w:val="style31"/>
    <w:uiPriority w:val="99"/>
  </w:style>
  <w:style w:type="paragraph" w:styleId="style32">
    <w:name w:val="footer"/>
    <w:basedOn w:val="style0"/>
    <w:next w:val="style32"/>
    <w:link w:val="style4099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9">
    <w:name w:val="Footer Char_e4fa1bac-7a48-4450-a4fb-c69e35786d30"/>
    <w:basedOn w:val="style65"/>
    <w:next w:val="style4099"/>
    <w:link w:val="style32"/>
    <w:uiPriority w:val="99"/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header" Target="header1.xml"/><Relationship Id="rId3" Type="http://schemas.openxmlformats.org/officeDocument/2006/relationships/styles" Target="styles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524</TotalTime>
  <Words>653</Words>
  <Pages>2</Pages>
  <Characters>4088</Characters>
  <Application>WPS Office</Application>
  <DocSecurity>0</DocSecurity>
  <Paragraphs>97</Paragraphs>
  <ScaleCrop>false</ScaleCrop>
  <Company>Hewlett-Packard Company</Company>
  <LinksUpToDate>false</LinksUpToDate>
  <CharactersWithSpaces>4704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2019-04-09T09:13:00Z</dcterms:created>
  <dc:creator>IT_Helpdesk_Delhi</dc:creator>
  <lastModifiedBy>MI MAX 2</lastModifiedBy>
  <lastPrinted>2020-03-21T06:45:00Z</lastPrinted>
  <dcterms:modified xsi:type="dcterms:W3CDTF">2021-11-23T13:11:33Z</dcterms:modified>
  <revision>375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e2bc75c4257649048e749bedc836f52a</vt:lpwstr>
  </property>
</Properties>
</file>